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charts/style1.xml" ContentType="application/vnd.ms-office.chartstyle+xml"/>
  <Override PartName="/word/charts/chart1.xml" ContentType="application/vnd.openxmlformats-officedocument.drawingml.chart+xml"/>
  <Override PartName="/word/charts/colors1.xml" ContentType="application/vnd.ms-office.chartcolorstyle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мониторинга трудоустройства выпускников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</w:t>
      </w:r>
      <w:r>
        <w:rPr>
          <w:rFonts w:ascii="Times New Roman" w:hAnsi="Times New Roman" w:cs="Times New Roman"/>
          <w:b/>
          <w:sz w:val="28"/>
          <w:szCs w:val="28"/>
        </w:rPr>
        <w:t xml:space="preserve">-х классов общеобразовательных организаций Ростовской области,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не получивших аттестат о</w:t>
      </w:r>
      <w:r>
        <w:rPr>
          <w:rFonts w:ascii="Times New Roman" w:hAnsi="Times New Roman" w:cs="Times New Roman"/>
          <w:b/>
          <w:sz w:val="28"/>
          <w:szCs w:val="28"/>
        </w:rPr>
        <w:t xml:space="preserve">б основном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общем образовании в 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/>
    </w:p>
    <w:p>
      <w:pPr>
        <w:ind w:firstLine="709"/>
        <w:jc w:val="both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Ростовской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проведен мониторинг </w:t>
      </w:r>
      <w:r>
        <w:rPr>
          <w:rFonts w:ascii="Times New Roman" w:hAnsi="Times New Roman" w:cs="Times New Roman"/>
          <w:sz w:val="28"/>
          <w:szCs w:val="28"/>
        </w:rPr>
        <w:t xml:space="preserve">трудоустройства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выпускников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-х</w:t>
      </w:r>
      <w:r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 xml:space="preserve">асс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прошедших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итогов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ГИА</w:t>
      </w:r>
      <w:r>
        <w:rPr>
          <w:rFonts w:ascii="Times New Roman" w:hAnsi="Times New Roman" w:cs="Times New Roman"/>
          <w:sz w:val="28"/>
          <w:szCs w:val="28"/>
        </w:rPr>
        <w:t xml:space="preserve">-9)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выпускников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-х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классов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успешно прошедших ГИА</w:t>
      </w:r>
      <w:r>
        <w:rPr>
          <w:rFonts w:ascii="Times New Roman" w:hAnsi="Times New Roman" w:cs="Times New Roman"/>
          <w:sz w:val="28"/>
          <w:szCs w:val="28"/>
        </w:rPr>
        <w:t xml:space="preserve">-9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продолживших обучение в </w:t>
      </w:r>
      <w:r>
        <w:rPr>
          <w:rFonts w:ascii="Times New Roman" w:hAnsi="Times New Roman" w:cs="Times New Roman"/>
          <w:sz w:val="28"/>
          <w:szCs w:val="28"/>
        </w:rPr>
        <w:t xml:space="preserve">учреждениях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году к ГИА</w:t>
      </w:r>
      <w:r>
        <w:rPr>
          <w:rFonts w:ascii="Times New Roman" w:hAnsi="Times New Roman" w:cs="Times New Roman"/>
          <w:sz w:val="28"/>
          <w:szCs w:val="28"/>
        </w:rPr>
        <w:t xml:space="preserve">-9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допущены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>
        <w:rPr>
          <w:rFonts w:ascii="Times New Roman" w:hAnsi="Times New Roman" w:cs="Times New Roman"/>
          <w:b/>
          <w:sz w:val="28"/>
          <w:szCs w:val="28"/>
        </w:rPr>
        <w:t xml:space="preserve">397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выпускник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9-х классов.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9-х </w:t>
      </w:r>
      <w:r>
        <w:rPr>
          <w:rFonts w:ascii="Times New Roman" w:hAnsi="Times New Roman" w:cs="Times New Roman"/>
          <w:sz w:val="28"/>
          <w:szCs w:val="28"/>
        </w:rPr>
        <w:t xml:space="preserve">классов,</w:t>
      </w:r>
      <w:r>
        <w:rPr>
          <w:rFonts w:ascii="Times New Roman" w:hAnsi="Times New Roman" w:cs="Times New Roman"/>
          <w:sz w:val="28"/>
          <w:szCs w:val="28"/>
        </w:rPr>
        <w:t xml:space="preserve"> не прошедших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ГИА</w:t>
      </w:r>
      <w:r>
        <w:rPr>
          <w:rFonts w:ascii="Times New Roman" w:hAnsi="Times New Roman" w:cs="Times New Roman"/>
          <w:sz w:val="28"/>
          <w:szCs w:val="28"/>
        </w:rPr>
        <w:t xml:space="preserve">-9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следующие.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образованиях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все выпускники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9-х классов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итогам ГИА-9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получили аттестат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основном</w:t>
      </w:r>
      <w:r>
        <w:rPr>
          <w:rFonts w:ascii="Times New Roman" w:hAnsi="Times New Roman" w:cs="Times New Roman"/>
          <w:sz w:val="28"/>
          <w:szCs w:val="28"/>
        </w:rPr>
        <w:t xml:space="preserve"> общем образовании</w:t>
      </w:r>
      <w:r>
        <w:rPr>
          <w:rStyle w:val="68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показатель стабилен в последние </w:t>
      </w:r>
      <w:r>
        <w:rPr>
          <w:rFonts w:ascii="Times New Roman" w:hAnsi="Times New Roman" w:cs="Times New Roman"/>
          <w:sz w:val="28"/>
          <w:szCs w:val="28"/>
        </w:rPr>
        <w:t xml:space="preserve">два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 xml:space="preserve">18-ти муниципалитетах: Азовский район, Веселовский ра</w:t>
      </w:r>
      <w:r>
        <w:rPr>
          <w:rFonts w:ascii="Times New Roman" w:hAnsi="Times New Roman" w:cs="Times New Roman"/>
          <w:sz w:val="28"/>
          <w:szCs w:val="28"/>
        </w:rPr>
        <w:t xml:space="preserve">йон, Волгодонской район, Егорлыкский район, Зерноградский район, Кагальницкий район, Кашарский район, Мартыновский район, Мясниковский район, Обливский район, Песчанокопский район, Пролетарский (с) район, Ремонтненский район, Советский (с) район, Тацинский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район, Целинский район, Цимлянский район, Сальский район,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55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выпускник</w:t>
      </w:r>
      <w:r>
        <w:rPr>
          <w:rFonts w:ascii="Times New Roman" w:hAnsi="Times New Roman" w:cs="Times New Roman"/>
          <w:b/>
          <w:sz w:val="28"/>
          <w:szCs w:val="28"/>
        </w:rPr>
        <w:t xml:space="preserve">ов</w:t>
      </w:r>
      <w:r>
        <w:rPr>
          <w:rFonts w:ascii="Times New Roman" w:hAnsi="Times New Roman" w:cs="Times New Roman"/>
          <w:b/>
          <w:sz w:val="28"/>
          <w:szCs w:val="28"/>
        </w:rPr>
        <w:t xml:space="preserve"> 9-х классов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не</w:t>
      </w:r>
      <w:r>
        <w:rPr>
          <w:rFonts w:ascii="Times New Roman" w:hAnsi="Times New Roman" w:cs="Times New Roman"/>
          <w:b/>
          <w:sz w:val="28"/>
          <w:szCs w:val="28"/>
        </w:rPr>
        <w:t xml:space="preserve"> 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прош</w:t>
      </w:r>
      <w:r>
        <w:rPr>
          <w:rFonts w:ascii="Times New Roman" w:hAnsi="Times New Roman" w:cs="Times New Roman"/>
          <w:b/>
          <w:sz w:val="28"/>
          <w:szCs w:val="28"/>
        </w:rPr>
        <w:t xml:space="preserve">ли</w:t>
      </w:r>
      <w:r>
        <w:rPr>
          <w:rFonts w:ascii="Times New Roman" w:hAnsi="Times New Roman" w:cs="Times New Roman"/>
          <w:b/>
          <w:sz w:val="28"/>
          <w:szCs w:val="28"/>
        </w:rPr>
        <w:t xml:space="preserve"> ГИА</w:t>
      </w:r>
      <w:r>
        <w:rPr>
          <w:rFonts w:ascii="Times New Roman" w:hAnsi="Times New Roman" w:cs="Times New Roman"/>
          <w:b/>
          <w:sz w:val="28"/>
          <w:szCs w:val="28"/>
        </w:rPr>
        <w:t xml:space="preserve">-9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году и</w:t>
      </w:r>
      <w:r>
        <w:rPr>
          <w:rFonts w:ascii="Times New Roman" w:hAnsi="Times New Roman" w:cs="Times New Roman"/>
          <w:sz w:val="28"/>
          <w:szCs w:val="28"/>
        </w:rPr>
        <w:t xml:space="preserve"> не получили аттестат </w:t>
      </w:r>
      <w:r>
        <w:rPr>
          <w:rFonts w:ascii="Times New Roman" w:hAnsi="Times New Roman" w:cs="Times New Roman"/>
          <w:sz w:val="28"/>
          <w:szCs w:val="28"/>
        </w:rPr>
        <w:t xml:space="preserve">об основном</w:t>
      </w:r>
      <w:r>
        <w:rPr>
          <w:rFonts w:ascii="Times New Roman" w:hAnsi="Times New Roman" w:cs="Times New Roman"/>
          <w:sz w:val="28"/>
          <w:szCs w:val="28"/>
        </w:rPr>
        <w:t xml:space="preserve"> общем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мониторинг </w:t>
      </w:r>
      <w:r>
        <w:rPr>
          <w:rFonts w:ascii="Times New Roman" w:hAnsi="Times New Roman" w:cs="Times New Roman"/>
          <w:sz w:val="28"/>
          <w:szCs w:val="28"/>
        </w:rPr>
        <w:t xml:space="preserve">показал, что </w:t>
      </w:r>
      <w:r>
        <w:rPr>
          <w:rFonts w:ascii="Times New Roman" w:hAnsi="Times New Roman" w:cs="Times New Roman"/>
          <w:sz w:val="28"/>
          <w:szCs w:val="28"/>
        </w:rPr>
        <w:t xml:space="preserve">в сравнении с предыдущим годом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>
        <w:rPr>
          <w:rFonts w:ascii="Times New Roman" w:hAnsi="Times New Roman" w:cs="Times New Roman"/>
          <w:sz w:val="28"/>
          <w:szCs w:val="28"/>
        </w:rPr>
        <w:t xml:space="preserve"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 в количественном показателе, так и в процентном соотношении число</w:t>
      </w:r>
      <w:r>
        <w:rPr>
          <w:rFonts w:ascii="Times New Roman" w:hAnsi="Times New Roman" w:cs="Times New Roman"/>
          <w:sz w:val="28"/>
          <w:szCs w:val="28"/>
        </w:rPr>
        <w:t xml:space="preserve"> выпускников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не прошедших ГИА</w:t>
      </w:r>
      <w:r>
        <w:rPr>
          <w:rFonts w:ascii="Times New Roman" w:hAnsi="Times New Roman" w:cs="Times New Roman"/>
          <w:sz w:val="28"/>
          <w:szCs w:val="28"/>
        </w:rPr>
        <w:t xml:space="preserve">-9</w:t>
      </w:r>
      <w:r>
        <w:rPr>
          <w:rFonts w:ascii="Times New Roman" w:hAnsi="Times New Roman" w:cs="Times New Roman"/>
          <w:sz w:val="28"/>
          <w:szCs w:val="28"/>
        </w:rPr>
        <w:t xml:space="preserve"> и не получивших аттестат об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основном общем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. Т</w:t>
      </w:r>
      <w:r>
        <w:rPr>
          <w:rFonts w:ascii="Times New Roman" w:hAnsi="Times New Roman" w:cs="Times New Roman"/>
          <w:sz w:val="28"/>
          <w:szCs w:val="28"/>
        </w:rPr>
        <w:t xml:space="preserve">ак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2021 году </w:t>
      </w:r>
      <w:r>
        <w:rPr>
          <w:rFonts w:ascii="Times New Roman" w:hAnsi="Times New Roman" w:cs="Times New Roman"/>
          <w:sz w:val="28"/>
          <w:szCs w:val="28"/>
        </w:rPr>
        <w:t xml:space="preserve">не получили аттестат об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основном общем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выпускника (0,6</w:t>
      </w:r>
      <w:r>
        <w:rPr>
          <w:rFonts w:ascii="Times New Roman" w:hAnsi="Times New Roman" w:cs="Times New Roman"/>
          <w:sz w:val="28"/>
          <w:szCs w:val="28"/>
        </w:rPr>
        <w:t xml:space="preserve">2 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 от общего количества выпускников 9-х классов, допущенных к ГИА-9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2022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году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255 выпускников (0,64 % соответственно).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высокая доля </w:t>
      </w:r>
      <w:r>
        <w:rPr>
          <w:rFonts w:ascii="Times New Roman" w:hAnsi="Times New Roman" w:cs="Times New Roman"/>
          <w:sz w:val="28"/>
          <w:szCs w:val="28"/>
        </w:rPr>
        <w:t xml:space="preserve">выпускников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-х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лассов</w:t>
      </w:r>
      <w:r>
        <w:rPr>
          <w:rFonts w:ascii="Times New Roman" w:hAnsi="Times New Roman" w:cs="Times New Roman"/>
          <w:sz w:val="28"/>
          <w:szCs w:val="28"/>
        </w:rPr>
        <w:t xml:space="preserve">, которые не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прошли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ГИА</w:t>
      </w:r>
      <w:r>
        <w:rPr>
          <w:rFonts w:ascii="Times New Roman" w:hAnsi="Times New Roman" w:cs="Times New Roman"/>
          <w:sz w:val="28"/>
          <w:szCs w:val="28"/>
        </w:rPr>
        <w:t xml:space="preserve">-9</w:t>
      </w:r>
      <w:r>
        <w:rPr>
          <w:rFonts w:ascii="Times New Roman" w:hAnsi="Times New Roman" w:cs="Times New Roman"/>
          <w:sz w:val="28"/>
          <w:szCs w:val="28"/>
        </w:rPr>
        <w:t xml:space="preserve"> и не </w:t>
      </w:r>
      <w:r>
        <w:rPr>
          <w:rFonts w:ascii="Times New Roman" w:hAnsi="Times New Roman" w:cs="Times New Roman"/>
          <w:sz w:val="28"/>
          <w:szCs w:val="28"/>
        </w:rPr>
        <w:t xml:space="preserve">получили аттестат </w:t>
      </w:r>
      <w:r>
        <w:rPr>
          <w:rFonts w:ascii="Times New Roman" w:hAnsi="Times New Roman" w:cs="Times New Roman"/>
          <w:sz w:val="28"/>
          <w:szCs w:val="28"/>
        </w:rPr>
        <w:t xml:space="preserve">об основном общем </w:t>
      </w:r>
      <w:r>
        <w:rPr>
          <w:rFonts w:ascii="Times New Roman" w:hAnsi="Times New Roman" w:cs="Times New Roman"/>
          <w:sz w:val="28"/>
          <w:szCs w:val="28"/>
        </w:rPr>
        <w:t xml:space="preserve">образовании</w:t>
      </w:r>
      <w:r>
        <w:rPr>
          <w:rFonts w:ascii="Times New Roman" w:hAnsi="Times New Roman" w:cs="Times New Roman"/>
          <w:sz w:val="28"/>
          <w:szCs w:val="28"/>
        </w:rPr>
        <w:t xml:space="preserve">, отмечается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 Родионово-Несветайском</w:t>
      </w:r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 xml:space="preserve">- 8,</w:t>
      </w:r>
      <w:r>
        <w:rPr>
          <w:rFonts w:ascii="Times New Roman" w:hAnsi="Times New Roman" w:cs="Times New Roman"/>
          <w:sz w:val="28"/>
          <w:szCs w:val="28"/>
        </w:rPr>
        <w:t xml:space="preserve">42 </w:t>
      </w:r>
      <w:r>
        <w:rPr>
          <w:rFonts w:ascii="Times New Roman" w:hAnsi="Times New Roman" w:cs="Times New Roman"/>
          <w:sz w:val="28"/>
          <w:szCs w:val="28"/>
        </w:rPr>
        <w:t xml:space="preserve">% (</w:t>
      </w: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чел.), в </w:t>
      </w:r>
      <w:r>
        <w:rPr>
          <w:rFonts w:ascii="Times New Roman" w:hAnsi="Times New Roman" w:cs="Times New Roman"/>
          <w:sz w:val="28"/>
          <w:szCs w:val="28"/>
        </w:rPr>
        <w:t xml:space="preserve">Заветинском районе - 7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41 </w:t>
      </w:r>
      <w:r>
        <w:rPr>
          <w:rFonts w:ascii="Times New Roman" w:hAnsi="Times New Roman" w:cs="Times New Roman"/>
          <w:sz w:val="28"/>
          <w:szCs w:val="28"/>
        </w:rPr>
        <w:t xml:space="preserve">% (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чел.), в </w:t>
      </w:r>
      <w:r>
        <w:rPr>
          <w:rFonts w:ascii="Times New Roman" w:hAnsi="Times New Roman" w:cs="Times New Roman"/>
          <w:sz w:val="28"/>
          <w:szCs w:val="28"/>
        </w:rPr>
        <w:t xml:space="preserve">Семикаракорском</w:t>
      </w:r>
      <w:r>
        <w:rPr>
          <w:rFonts w:ascii="Times New Roman" w:hAnsi="Times New Roman" w:cs="Times New Roman"/>
          <w:sz w:val="28"/>
          <w:szCs w:val="28"/>
        </w:rPr>
        <w:t xml:space="preserve"> районе –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64 </w:t>
      </w:r>
      <w:r>
        <w:rPr>
          <w:rFonts w:ascii="Times New Roman" w:hAnsi="Times New Roman" w:cs="Times New Roman"/>
          <w:sz w:val="28"/>
          <w:szCs w:val="28"/>
        </w:rPr>
        <w:t xml:space="preserve">% (</w:t>
      </w:r>
      <w:r>
        <w:rPr>
          <w:rFonts w:ascii="Times New Roman" w:hAnsi="Times New Roman" w:cs="Times New Roman"/>
          <w:sz w:val="28"/>
          <w:szCs w:val="28"/>
        </w:rPr>
        <w:t xml:space="preserve">32</w:t>
      </w:r>
      <w:r>
        <w:rPr>
          <w:rFonts w:ascii="Times New Roman" w:hAnsi="Times New Roman" w:cs="Times New Roman"/>
          <w:sz w:val="28"/>
          <w:szCs w:val="28"/>
        </w:rPr>
        <w:t xml:space="preserve"> чел.)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количественном </w:t>
      </w:r>
      <w:r>
        <w:rPr>
          <w:rFonts w:ascii="Times New Roman" w:hAnsi="Times New Roman" w:cs="Times New Roman"/>
          <w:sz w:val="28"/>
          <w:szCs w:val="28"/>
        </w:rPr>
        <w:t xml:space="preserve">соотношении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наибольшее число выпускников 9-х классов, </w:t>
      </w:r>
      <w:r>
        <w:rPr>
          <w:rFonts w:ascii="Times New Roman" w:hAnsi="Times New Roman" w:cs="Times New Roman"/>
          <w:sz w:val="28"/>
          <w:szCs w:val="28"/>
        </w:rPr>
        <w:t xml:space="preserve">не получивших аттестат </w:t>
      </w:r>
      <w:r>
        <w:rPr>
          <w:rFonts w:ascii="Times New Roman" w:hAnsi="Times New Roman" w:cs="Times New Roman"/>
          <w:sz w:val="28"/>
          <w:szCs w:val="28"/>
        </w:rPr>
        <w:t xml:space="preserve">об основном общем образовании, отмечается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Таганрог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96 человек (4,01 %).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 Каменском районе из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выпуск</w:t>
      </w:r>
      <w:r>
        <w:rPr>
          <w:rFonts w:ascii="Times New Roman" w:hAnsi="Times New Roman" w:cs="Times New Roman"/>
          <w:sz w:val="28"/>
          <w:szCs w:val="28"/>
        </w:rPr>
        <w:t xml:space="preserve">ников, не получивших аттестат, </w:t>
      </w:r>
      <w:r>
        <w:rPr>
          <w:rFonts w:ascii="Times New Roman" w:hAnsi="Times New Roman" w:cs="Times New Roman"/>
          <w:sz w:val="28"/>
          <w:szCs w:val="28"/>
        </w:rPr>
        <w:t xml:space="preserve">3 чел</w:t>
      </w:r>
      <w:r>
        <w:rPr>
          <w:rFonts w:ascii="Times New Roman" w:hAnsi="Times New Roman" w:cs="Times New Roman"/>
          <w:sz w:val="28"/>
          <w:szCs w:val="28"/>
        </w:rPr>
        <w:t xml:space="preserve">овека</w:t>
      </w:r>
      <w:r>
        <w:rPr>
          <w:rFonts w:ascii="Times New Roman" w:hAnsi="Times New Roman" w:cs="Times New Roman"/>
          <w:sz w:val="28"/>
          <w:szCs w:val="28"/>
        </w:rPr>
        <w:t xml:space="preserve"> – выпускники </w:t>
      </w:r>
      <w:r>
        <w:rPr>
          <w:rFonts w:ascii="Times New Roman" w:hAnsi="Times New Roman" w:cs="Times New Roman"/>
          <w:sz w:val="28"/>
          <w:szCs w:val="28"/>
        </w:rPr>
        <w:t xml:space="preserve">МБОУ вечерняя (сменная) ОШ</w:t>
      </w:r>
      <w:r>
        <w:rPr>
          <w:rFonts w:ascii="Times New Roman" w:hAnsi="Times New Roman" w:cs="Times New Roman"/>
          <w:sz w:val="28"/>
          <w:szCs w:val="28"/>
        </w:rPr>
        <w:t xml:space="preserve">; в Миллеровском районе – из 2 </w:t>
      </w:r>
      <w:r>
        <w:rPr>
          <w:rFonts w:ascii="Times New Roman" w:hAnsi="Times New Roman" w:cs="Times New Roman"/>
          <w:sz w:val="28"/>
          <w:szCs w:val="28"/>
        </w:rPr>
        <w:t xml:space="preserve">выпуск</w:t>
      </w:r>
      <w:r>
        <w:rPr>
          <w:rFonts w:ascii="Times New Roman" w:hAnsi="Times New Roman" w:cs="Times New Roman"/>
          <w:sz w:val="28"/>
          <w:szCs w:val="28"/>
        </w:rPr>
        <w:t xml:space="preserve">ников, не получивших аттестат, 1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 xml:space="preserve">овек</w:t>
      </w:r>
      <w:r>
        <w:rPr>
          <w:rFonts w:ascii="Times New Roman" w:hAnsi="Times New Roman" w:cs="Times New Roman"/>
          <w:sz w:val="28"/>
          <w:szCs w:val="28"/>
        </w:rPr>
        <w:t xml:space="preserve"> – выпускник </w:t>
      </w:r>
      <w:r>
        <w:rPr>
          <w:rFonts w:ascii="Times New Roman" w:hAnsi="Times New Roman" w:cs="Times New Roman"/>
          <w:sz w:val="28"/>
          <w:szCs w:val="28"/>
        </w:rPr>
        <w:t xml:space="preserve">МБОУ Вечерняя (С)</w:t>
      </w:r>
      <w:r>
        <w:rPr>
          <w:rFonts w:ascii="Times New Roman" w:hAnsi="Times New Roman" w:cs="Times New Roman"/>
          <w:sz w:val="28"/>
          <w:szCs w:val="28"/>
        </w:rPr>
        <w:t xml:space="preserve">ОШ</w:t>
      </w:r>
      <w:r>
        <w:rPr>
          <w:rFonts w:ascii="Times New Roman" w:hAnsi="Times New Roman" w:cs="Times New Roman"/>
          <w:sz w:val="28"/>
          <w:szCs w:val="28"/>
        </w:rPr>
        <w:t xml:space="preserve">; в Неклиновском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из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выпуск</w:t>
      </w:r>
      <w:r>
        <w:rPr>
          <w:rFonts w:ascii="Times New Roman" w:hAnsi="Times New Roman" w:cs="Times New Roman"/>
          <w:sz w:val="28"/>
          <w:szCs w:val="28"/>
        </w:rPr>
        <w:t xml:space="preserve">ников, не получивших аттестат, 15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 xml:space="preserve">овек</w:t>
      </w:r>
      <w:r>
        <w:rPr>
          <w:rFonts w:ascii="Times New Roman" w:hAnsi="Times New Roman" w:cs="Times New Roman"/>
          <w:sz w:val="28"/>
          <w:szCs w:val="28"/>
        </w:rPr>
        <w:t xml:space="preserve"> – выпускники </w:t>
      </w:r>
      <w:r>
        <w:rPr>
          <w:rFonts w:ascii="Times New Roman" w:hAnsi="Times New Roman" w:cs="Times New Roman"/>
          <w:sz w:val="28"/>
          <w:szCs w:val="28"/>
        </w:rPr>
        <w:t xml:space="preserve">МБОУ Неклиновск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вечерн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 xml:space="preserve">ы.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сокращение доли выпускников, не получивших аттестат,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сравнении с 2021 годом наблюдается в </w:t>
      </w:r>
      <w:r>
        <w:rPr>
          <w:rFonts w:ascii="Times New Roman" w:hAnsi="Times New Roman" w:cs="Times New Roman"/>
          <w:sz w:val="28"/>
          <w:szCs w:val="28"/>
        </w:rPr>
        <w:t xml:space="preserve">Миллеровском</w:t>
      </w:r>
      <w:r>
        <w:rPr>
          <w:rFonts w:ascii="Times New Roman" w:hAnsi="Times New Roman" w:cs="Times New Roman"/>
          <w:sz w:val="28"/>
          <w:szCs w:val="28"/>
        </w:rPr>
        <w:t xml:space="preserve"> районе (улучшение на</w:t>
      </w:r>
      <w:r>
        <w:rPr>
          <w:rFonts w:ascii="Times New Roman" w:hAnsi="Times New Roman" w:cs="Times New Roman"/>
          <w:sz w:val="28"/>
          <w:szCs w:val="28"/>
        </w:rPr>
        <w:t xml:space="preserve"> 8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22 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 xml:space="preserve">Боковском районе</w:t>
      </w:r>
      <w:r>
        <w:rPr>
          <w:rFonts w:ascii="Times New Roman" w:hAnsi="Times New Roman" w:cs="Times New Roman"/>
          <w:sz w:val="28"/>
          <w:szCs w:val="28"/>
        </w:rPr>
        <w:t xml:space="preserve"> (улучшение на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,6</w:t>
      </w:r>
      <w:r>
        <w:rPr>
          <w:rFonts w:ascii="Times New Roman" w:hAnsi="Times New Roman" w:cs="Times New Roman"/>
          <w:sz w:val="28"/>
          <w:szCs w:val="28"/>
        </w:rPr>
        <w:t xml:space="preserve">4 %)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contextualSpacing/>
        <w:ind w:firstLine="709"/>
        <w:jc w:val="both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before="24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Таблица 1. Сравнительный анализ количества выпускников </w:t>
      </w:r>
      <w:r>
        <w:rPr>
          <w:rFonts w:ascii="Times New Roman" w:hAnsi="Times New Roman" w:cs="Times New Roman"/>
          <w:b/>
          <w:sz w:val="26"/>
          <w:szCs w:val="26"/>
        </w:rPr>
        <w:t xml:space="preserve">9</w:t>
      </w:r>
      <w:r>
        <w:rPr>
          <w:rFonts w:ascii="Times New Roman" w:hAnsi="Times New Roman" w:cs="Times New Roman"/>
          <w:b/>
          <w:sz w:val="26"/>
          <w:szCs w:val="26"/>
        </w:rPr>
        <w:t xml:space="preserve"> -х классов </w:t>
      </w:r>
      <w:r>
        <w:rPr>
          <w:rFonts w:ascii="Times New Roman" w:hAnsi="Times New Roman" w:cs="Times New Roman"/>
          <w:b/>
          <w:sz w:val="26"/>
          <w:szCs w:val="26"/>
        </w:rPr>
        <w:t xml:space="preserve">обще</w:t>
      </w:r>
      <w:r>
        <w:rPr>
          <w:rFonts w:ascii="Times New Roman" w:hAnsi="Times New Roman" w:cs="Times New Roman"/>
          <w:b/>
          <w:sz w:val="26"/>
          <w:szCs w:val="26"/>
        </w:rPr>
        <w:t xml:space="preserve">образовательных организаций, не получивших аттестат о</w:t>
      </w:r>
      <w:r>
        <w:rPr>
          <w:rFonts w:ascii="Times New Roman" w:hAnsi="Times New Roman" w:cs="Times New Roman"/>
          <w:b/>
          <w:sz w:val="26"/>
          <w:szCs w:val="26"/>
        </w:rPr>
        <w:t xml:space="preserve">б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основном</w:t>
      </w:r>
      <w:r>
        <w:rPr>
          <w:rFonts w:ascii="Times New Roman" w:hAnsi="Times New Roman" w:cs="Times New Roman"/>
          <w:b/>
          <w:sz w:val="26"/>
          <w:szCs w:val="26"/>
        </w:rPr>
        <w:t xml:space="preserve"> общем образовании, в динамике за два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(2021 и 2022 г.г.)</w:t>
      </w:r>
      <w:r/>
    </w:p>
    <w:tbl>
      <w:tblPr>
        <w:tblW w:w="10923" w:type="dxa"/>
        <w:tblInd w:w="-473" w:type="dxa"/>
        <w:tblLook w:val="04A0" w:firstRow="1" w:lastRow="0" w:firstColumn="1" w:lastColumn="0" w:noHBand="0" w:noVBand="1"/>
      </w:tblPr>
      <w:tblGrid>
        <w:gridCol w:w="721"/>
        <w:gridCol w:w="2146"/>
        <w:gridCol w:w="2100"/>
        <w:gridCol w:w="2170"/>
        <w:gridCol w:w="2170"/>
        <w:gridCol w:w="1616"/>
      </w:tblGrid>
      <w:tr>
        <w:trPr>
          <w:trHeight w:val="110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муниципального образования Ростовской области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выпускников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9-х классов, допущенных к ГИА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выпускников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9-х классов, не получивших аттестат об основном общем образовании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выпускников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9-х классов, не получивших аттестат об основном общем образовании (%)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Динамика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(2021 г./2022 г.)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</w:t>
            </w:r>
            <w:r/>
          </w:p>
        </w:tc>
      </w:tr>
      <w:tr>
        <w:trPr>
          <w:trHeight w:val="255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Ростовская область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3971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255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0,64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0,02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cc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Родионово-Несветайский район</w:t>
            </w:r>
            <w:r/>
          </w:p>
        </w:tc>
        <w:tc>
          <w:tcPr>
            <w:shd w:val="clear" w:color="000000" w:fill="ffcc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</w:t>
            </w:r>
            <w:r/>
          </w:p>
        </w:tc>
        <w:tc>
          <w:tcPr>
            <w:shd w:val="clear" w:color="000000" w:fill="ffcc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</w:t>
            </w:r>
            <w:r/>
          </w:p>
        </w:tc>
        <w:tc>
          <w:tcPr>
            <w:shd w:val="clear" w:color="000000" w:fill="ffcc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8,42</w:t>
            </w:r>
            <w:r/>
          </w:p>
        </w:tc>
        <w:tc>
          <w:tcPr>
            <w:shd w:val="clear" w:color="000000" w:fill="ffcc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5,66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Заветинский район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7,41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5,63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Семикаракорский район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482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6,64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4,65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Таганрог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2397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4,01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2,81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Донецк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386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2,59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2,33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Матвеево-Курганский район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383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2,87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1,57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Неклиновский район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787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2,03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1,09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Шолоховский район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227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3,08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0,83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Морозовский район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381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0,79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0,79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г.Зверево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214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0,93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0,49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Аксайский район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1126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1,95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0,45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Октябрьский район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655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0,15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0,15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г.Волгодонск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1419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0,14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0,14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г.Азов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790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0,13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0,13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г.Батайск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1413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0,07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0,07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Красносулинский район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640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0,16</w:t>
            </w:r>
            <w:r/>
          </w:p>
        </w:tc>
        <w:tc>
          <w:tcPr>
            <w:shd w:val="clear" w:color="000000" w:fill="ffcc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0,02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Новочеркасск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1570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0,06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Азовский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947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Веселовский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228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Волгодонской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298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Егорлыкский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328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Зерноградский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585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Кагальницкий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327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Кашарский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Мартыновский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Мясниковский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539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Обливский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Песчанокопский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257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Пролетарский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313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Ремонтненский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146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Советский район 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Тацинский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297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Целинский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Цимлянский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Сальский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1016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Ростов-на-Дону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10656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0,06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-0,03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Новошахтинск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811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-0,13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Каменск-Шахтинский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766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-0,27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Зимовниковский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341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-0,31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Белокалитвинский район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987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0,10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-0,33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Багаевский район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383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0,26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-0,34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Гуково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572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0,17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-0,44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Каменский район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0,76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-0,68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Усть-Донецкий район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239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0,84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-0,85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Милютинский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-1,09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Тарасовский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247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-1,18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г.Шахты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2001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0,25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-1,20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Константиновский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294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-1,47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Дубовский район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189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0,53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-1,66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Орловский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361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-2,45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Чертковский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305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-2,82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Верхнедонской район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000000" w:fill="bee395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-2,83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Куйбышевский район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123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0,81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-3,54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Боковский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0,74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-4,64</w:t>
            </w:r>
            <w:r/>
          </w:p>
        </w:tc>
      </w:tr>
      <w:tr>
        <w:trPr>
          <w:trHeight w:val="879" w:hRule="exact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1" w:type="dxa"/>
            <w:vAlign w:val="center"/>
            <w:textDirection w:val="lrTb"/>
            <w:noWrap w:val="false"/>
          </w:tcPr>
          <w:p>
            <w:pPr>
              <w:pStyle w:val="683"/>
              <w:numPr>
                <w:ilvl w:val="0"/>
                <w:numId w:val="9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Миллеровский район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710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0,28</w:t>
            </w:r>
            <w:r/>
          </w:p>
        </w:tc>
        <w:tc>
          <w:tcPr>
            <w:shd w:val="clear" w:color="000000" w:fill="ffff99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-8,22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09550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2.0pt;height:16.5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нет выпускников, не получивших аттестат;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09550"/>
                <wp:effectExtent l="0" t="0" r="0" b="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72.0pt;height:16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 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году сокращение д</w:t>
      </w:r>
      <w:r>
        <w:rPr>
          <w:rFonts w:ascii="Times New Roman" w:hAnsi="Times New Roman" w:cs="Times New Roman"/>
          <w:sz w:val="28"/>
          <w:szCs w:val="28"/>
        </w:rPr>
        <w:t xml:space="preserve">оли не получивших аттестат (или </w:t>
      </w:r>
      <w:r>
        <w:rPr>
          <w:rFonts w:ascii="Times New Roman" w:hAnsi="Times New Roman" w:cs="Times New Roman"/>
          <w:sz w:val="28"/>
          <w:szCs w:val="28"/>
        </w:rPr>
        <w:t xml:space="preserve">неизменный </w:t>
      </w:r>
      <w:r>
        <w:rPr>
          <w:rFonts w:ascii="Times New Roman" w:hAnsi="Times New Roman" w:cs="Times New Roman"/>
          <w:sz w:val="28"/>
          <w:szCs w:val="28"/>
        </w:rPr>
        <w:t xml:space="preserve">процент</w:t>
      </w:r>
      <w:r>
        <w:rPr>
          <w:rFonts w:ascii="Times New Roman" w:hAnsi="Times New Roman" w:cs="Times New Roman"/>
          <w:sz w:val="28"/>
          <w:szCs w:val="28"/>
        </w:rPr>
        <w:t xml:space="preserve">) по сравнению с 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годом;</w:t>
      </w:r>
      <w:r/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1905</wp:posOffset>
                </wp:positionV>
                <wp:extent cx="914400" cy="209550"/>
                <wp:effectExtent l="0" t="0" r="0" b="0"/>
                <wp:wrapThrough wrapText="bothSides">
                  <wp:wrapPolygon edited="1">
                    <wp:start x="0" y="0"/>
                    <wp:lineTo x="0" y="19636"/>
                    <wp:lineTo x="21150" y="19636"/>
                    <wp:lineTo x="21150" y="0"/>
                    <wp:lineTo x="0" y="0"/>
                  </wp:wrapPolygon>
                </wp:wrapThrough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8240;o:allowoverlap:true;o:allowincell:true;mso-position-horizontal-relative:text;margin-left:1.1pt;mso-position-horizontal:absolute;mso-position-vertical-relative:text;margin-top:0.1pt;mso-position-vertical:absolute;width:72.0pt;height:16.5pt;mso-wrap-distance-left:9.0pt;mso-wrap-distance-top:0.0pt;mso-wrap-distance-right:9.0pt;mso-wrap-distance-bottom:0.0pt;" wrapcoords="0 0 0 90907 97917 90907 97917 0 0 0" stroked="f">
                <v:path textboxrect="0,0,0,0"/>
                <w10:wrap type="through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2022 году увеличение доли не получивших аттестат по сравнению 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2021годом.</w:t>
      </w:r>
      <w:r/>
    </w:p>
    <w:p>
      <w:pPr>
        <w:ind w:firstLine="709"/>
        <w:jc w:val="both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</w:t>
      </w:r>
      <w:r>
        <w:rPr>
          <w:rFonts w:ascii="Times New Roman" w:hAnsi="Times New Roman" w:cs="Times New Roman"/>
          <w:sz w:val="28"/>
          <w:szCs w:val="28"/>
        </w:rPr>
        <w:t xml:space="preserve">трудоустройства выпускников 9-х классов, не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получивших аттестат, следующие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83"/>
        <w:numPr>
          <w:ilvl w:val="0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83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92 </w:t>
      </w:r>
      <w:r>
        <w:rPr>
          <w:rFonts w:ascii="Times New Roman" w:hAnsi="Times New Roman" w:cs="Times New Roman"/>
          <w:sz w:val="28"/>
          <w:szCs w:val="28"/>
        </w:rPr>
        <w:t xml:space="preserve">%)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оставлены на повторное обучение (в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том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числе в форме семейного образования);</w:t>
      </w:r>
      <w:r/>
    </w:p>
    <w:p>
      <w:pPr>
        <w:pStyle w:val="683"/>
        <w:numPr>
          <w:ilvl w:val="0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0,78 %</w:t>
      </w:r>
      <w:r>
        <w:rPr>
          <w:rFonts w:ascii="Times New Roman" w:hAnsi="Times New Roman" w:cs="Times New Roman"/>
          <w:sz w:val="28"/>
          <w:szCs w:val="28"/>
        </w:rPr>
        <w:t xml:space="preserve"> %) </w:t>
      </w:r>
      <w:r>
        <w:rPr>
          <w:rFonts w:ascii="Times New Roman" w:hAnsi="Times New Roman" w:cs="Times New Roman"/>
          <w:sz w:val="28"/>
          <w:szCs w:val="28"/>
        </w:rPr>
        <w:t xml:space="preserve">выпускник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трудоустроены;</w:t>
      </w:r>
      <w:r/>
    </w:p>
    <w:p>
      <w:pPr>
        <w:pStyle w:val="683"/>
        <w:numPr>
          <w:ilvl w:val="0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(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,3</w:t>
      </w:r>
      <w:r>
        <w:rPr>
          <w:rFonts w:ascii="Times New Roman" w:hAnsi="Times New Roman" w:cs="Times New Roman"/>
          <w:sz w:val="28"/>
          <w:szCs w:val="28"/>
        </w:rPr>
        <w:t xml:space="preserve">9 </w:t>
      </w:r>
      <w:r>
        <w:rPr>
          <w:rFonts w:ascii="Times New Roman" w:hAnsi="Times New Roman" w:cs="Times New Roman"/>
          <w:sz w:val="28"/>
          <w:szCs w:val="28"/>
        </w:rPr>
        <w:t xml:space="preserve">%) выпускник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оступил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(рабоч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83"/>
        <w:numPr>
          <w:ilvl w:val="0"/>
          <w:numId w:val="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33 </w:t>
      </w:r>
      <w:r>
        <w:rPr>
          <w:rFonts w:ascii="Times New Roman" w:hAnsi="Times New Roman" w:cs="Times New Roman"/>
          <w:sz w:val="28"/>
          <w:szCs w:val="28"/>
        </w:rPr>
        <w:t xml:space="preserve">%) выпускника не трудоустроены по причинам: службы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Вооруженных силах РФ, </w:t>
      </w:r>
      <w:r>
        <w:rPr>
          <w:rFonts w:ascii="Times New Roman" w:hAnsi="Times New Roman" w:cs="Times New Roman"/>
          <w:sz w:val="28"/>
          <w:szCs w:val="28"/>
        </w:rPr>
        <w:t xml:space="preserve">сменой места жительства</w:t>
      </w:r>
      <w:r>
        <w:rPr>
          <w:rFonts w:ascii="Times New Roman" w:hAnsi="Times New Roman" w:cs="Times New Roman"/>
          <w:sz w:val="28"/>
          <w:szCs w:val="28"/>
        </w:rPr>
        <w:t xml:space="preserve">, прохождения длительного лечения</w:t>
      </w:r>
      <w:r>
        <w:rPr>
          <w:rFonts w:ascii="Times New Roman" w:hAnsi="Times New Roman" w:cs="Times New Roman"/>
          <w:sz w:val="28"/>
          <w:szCs w:val="28"/>
        </w:rPr>
        <w:t xml:space="preserve"> и др. (р</w:t>
      </w:r>
      <w:r>
        <w:rPr>
          <w:rFonts w:ascii="Times New Roman" w:hAnsi="Times New Roman" w:cs="Times New Roman"/>
          <w:sz w:val="28"/>
          <w:szCs w:val="28"/>
        </w:rPr>
        <w:t xml:space="preserve">ис.1).</w:t>
      </w:r>
      <w:r/>
    </w:p>
    <w:p>
      <w:pPr>
        <w:pStyle w:val="683"/>
        <w:ind w:left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83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6299835" cy="3439160"/>
            <wp:effectExtent l="0" t="0" r="5715" b="889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/>
    </w:p>
    <w:p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ис. 1.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  <w:sectPr>
          <w:footnotePr/>
          <w:endnotePr/>
          <w:type w:val="nextPage"/>
          <w:pgSz w:w="11906" w:h="16838" w:orient="portrait"/>
          <w:pgMar w:top="851" w:right="851" w:bottom="709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 Сведения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 трудоустройстве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выпускников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 -х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образовательных организаций, не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получивших аттестат о</w:t>
      </w:r>
      <w:r>
        <w:rPr>
          <w:rFonts w:ascii="Times New Roman" w:hAnsi="Times New Roman" w:cs="Times New Roman"/>
          <w:b/>
          <w:sz w:val="24"/>
          <w:szCs w:val="24"/>
        </w:rPr>
        <w:t xml:space="preserve">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основном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общем образовании 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/>
    </w:p>
    <w:tbl>
      <w:tblPr>
        <w:tblW w:w="15260" w:type="dxa"/>
        <w:tblLook w:val="04A0" w:firstRow="1" w:lastRow="0" w:firstColumn="1" w:lastColumn="0" w:noHBand="0" w:noVBand="1"/>
      </w:tblPr>
      <w:tblGrid>
        <w:gridCol w:w="960"/>
        <w:gridCol w:w="2230"/>
        <w:gridCol w:w="1985"/>
        <w:gridCol w:w="1984"/>
        <w:gridCol w:w="1902"/>
        <w:gridCol w:w="2260"/>
        <w:gridCol w:w="1859"/>
        <w:gridCol w:w="2080"/>
      </w:tblGrid>
      <w:tr>
        <w:trPr>
          <w:trHeight w:val="160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МСУ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муниципального образования Ростовской области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выпускников,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получившего аттестат об основном общем образовании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Оставлен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повторный курс обучения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Трудоустроен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Получаю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 профессиональное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(рабочие специальности)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трудоустроен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0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Проходя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 службу в Вооруженных силах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РФ</w:t>
            </w:r>
            <w:r/>
          </w:p>
        </w:tc>
      </w:tr>
      <w:tr>
        <w:trPr>
          <w:trHeight w:val="315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33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Ростовская область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г. Ростов-на-Дону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Азовский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Аксайский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Багаевский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Боковский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Верхнедонской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Веселовский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Волгодонской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Дубовский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Егорлыкский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Заветинский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Зерноградский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Зимовниковский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Кагальницкий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Каменский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Кашарский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Константиновский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Куйбышевский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Мартыновский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Матвеево-Курганский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Миллеровский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Милютинский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Морозовский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Мясниковский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Неклиновский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Обливский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Октябрьский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Орловский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Песчанокопский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Пролетарский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Ремонтненский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Родионово-Несветайский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Семикаракорский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Советский район 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Тарасовский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Тацинский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Усть-Донецкий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Целинский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Цимлянский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Чертковский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Шолоховский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г.Азов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г. Батайск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Белокалитвинский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г. Волгодонск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г. Гуково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г. Донецк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г. Зверево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67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г. Каменск-Шахтинский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68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Красносулинский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г. Новочеркасск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г. Новошахтинск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Сальский район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г. Таганрог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96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91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74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г.Шахты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1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0</w:t>
            </w:r>
            <w:r/>
          </w:p>
        </w:tc>
      </w:tr>
    </w:tbl>
    <w:p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униципальным органам,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68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информационно-разъяснительную работу с выпускниками 9-х</w:t>
      </w:r>
      <w:r>
        <w:rPr>
          <w:rFonts w:ascii="Times New Roman" w:hAnsi="Times New Roman" w:cs="Times New Roman"/>
          <w:sz w:val="28"/>
          <w:szCs w:val="28"/>
        </w:rPr>
        <w:t xml:space="preserve"> классов, </w:t>
      </w:r>
      <w:r>
        <w:rPr>
          <w:rFonts w:ascii="Times New Roman" w:hAnsi="Times New Roman" w:cs="Times New Roman"/>
          <w:sz w:val="28"/>
          <w:szCs w:val="28"/>
        </w:rPr>
        <w:t xml:space="preserve">не прошедшими ГИА</w:t>
      </w:r>
      <w:r>
        <w:rPr>
          <w:rFonts w:ascii="Times New Roman" w:hAnsi="Times New Roman" w:cs="Times New Roman"/>
          <w:sz w:val="28"/>
          <w:szCs w:val="28"/>
        </w:rPr>
        <w:t xml:space="preserve">-9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8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профориентационную работу с обучающимися 9-х классов с целью более осознанного определения дальнейшего пути обучения.</w:t>
      </w:r>
      <w:r/>
    </w:p>
    <w:p>
      <w:pPr>
        <w:pStyle w:val="68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</w:t>
      </w:r>
      <w:r>
        <w:rPr>
          <w:rFonts w:ascii="Times New Roman" w:hAnsi="Times New Roman" w:cs="Times New Roman"/>
          <w:sz w:val="28"/>
          <w:szCs w:val="28"/>
        </w:rPr>
        <w:t xml:space="preserve">ыв</w:t>
      </w:r>
      <w:r>
        <w:rPr>
          <w:rFonts w:ascii="Times New Roman" w:hAnsi="Times New Roman" w:cs="Times New Roman"/>
          <w:sz w:val="28"/>
          <w:szCs w:val="28"/>
        </w:rPr>
        <w:t xml:space="preserve">ать мероприятия по взаимодействию с образовательными организациями среднего профессионального образования с целью расширения кругозора обучающихся по выбору профессий.</w:t>
      </w:r>
      <w:r/>
    </w:p>
    <w:p>
      <w:pPr>
        <w:pStyle w:val="68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Оказывать психологическую помощь обучающимся при подготовке к ГИА</w:t>
      </w:r>
      <w:r>
        <w:rPr>
          <w:rFonts w:ascii="Times New Roman" w:hAnsi="Times New Roman" w:cs="Times New Roman"/>
          <w:sz w:val="28"/>
          <w:szCs w:val="28"/>
        </w:rPr>
        <w:t xml:space="preserve">-9</w:t>
      </w:r>
      <w:r>
        <w:rPr>
          <w:rFonts w:ascii="Times New Roman" w:hAnsi="Times New Roman" w:cs="Times New Roman"/>
          <w:sz w:val="28"/>
          <w:szCs w:val="28"/>
        </w:rPr>
        <w:t xml:space="preserve"> для снятия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напряжения </w:t>
      </w:r>
      <w:r>
        <w:rPr>
          <w:rFonts w:ascii="Times New Roman" w:hAnsi="Times New Roman" w:cs="Times New Roman"/>
          <w:sz w:val="28"/>
          <w:szCs w:val="28"/>
        </w:rPr>
        <w:t xml:space="preserve">в предэкзаменационный и экзаменационный периоды.</w:t>
      </w:r>
      <w:r/>
    </w:p>
    <w:sectPr>
      <w:footnotePr/>
      <w:endnotePr/>
      <w:type w:val="nextPage"/>
      <w:pgSz w:w="16838" w:h="11906" w:orient="landscape"/>
      <w:pgMar w:top="1134" w:right="851" w:bottom="851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68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686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Азовский район, Верхнедонской район,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еселовский</w:t>
      </w:r>
      <w:r>
        <w:rPr>
          <w:rFonts w:ascii="Times New Roman" w:hAnsi="Times New Roman" w:cs="Times New Roman"/>
          <w:sz w:val="24"/>
          <w:szCs w:val="24"/>
        </w:rPr>
        <w:t xml:space="preserve"> район,</w:t>
      </w:r>
      <w:r>
        <w:rPr>
          <w:rFonts w:ascii="Times New Roman" w:hAnsi="Times New Roman" w:cs="Times New Roman"/>
          <w:sz w:val="24"/>
          <w:szCs w:val="24"/>
        </w:rPr>
        <w:t xml:space="preserve"> Волгодонской район, Егорлыкский район, </w:t>
      </w:r>
      <w:r>
        <w:rPr>
          <w:rFonts w:ascii="Times New Roman" w:hAnsi="Times New Roman" w:cs="Times New Roman"/>
          <w:sz w:val="24"/>
          <w:szCs w:val="24"/>
        </w:rPr>
        <w:t xml:space="preserve">Зерноградский район, </w:t>
      </w:r>
      <w:r>
        <w:rPr>
          <w:rFonts w:ascii="Times New Roman" w:hAnsi="Times New Roman" w:cs="Times New Roman"/>
          <w:sz w:val="24"/>
          <w:szCs w:val="24"/>
        </w:rPr>
        <w:t xml:space="preserve">Зимовниковский район, Кагальницкий район, Кашарский район, Константиновский район, </w:t>
      </w:r>
      <w:r>
        <w:rPr>
          <w:rFonts w:ascii="Times New Roman" w:hAnsi="Times New Roman" w:cs="Times New Roman"/>
          <w:sz w:val="24"/>
          <w:szCs w:val="24"/>
        </w:rPr>
        <w:t xml:space="preserve">Мартыновский район, </w:t>
      </w:r>
      <w:r>
        <w:rPr>
          <w:rFonts w:ascii="Times New Roman" w:hAnsi="Times New Roman" w:cs="Times New Roman"/>
          <w:sz w:val="24"/>
          <w:szCs w:val="24"/>
        </w:rPr>
        <w:t xml:space="preserve">Милютинской район, Мясниковский район, </w:t>
      </w:r>
      <w:r>
        <w:rPr>
          <w:rFonts w:ascii="Times New Roman" w:hAnsi="Times New Roman" w:cs="Times New Roman"/>
          <w:sz w:val="24"/>
          <w:szCs w:val="24"/>
        </w:rPr>
        <w:t xml:space="preserve">Обливский район, </w:t>
      </w:r>
      <w:r>
        <w:rPr>
          <w:rFonts w:ascii="Times New Roman" w:hAnsi="Times New Roman" w:cs="Times New Roman"/>
          <w:sz w:val="24"/>
          <w:szCs w:val="24"/>
        </w:rPr>
        <w:t xml:space="preserve">Орловский</w:t>
      </w:r>
      <w:r>
        <w:rPr>
          <w:rFonts w:ascii="Times New Roman" w:hAnsi="Times New Roman" w:cs="Times New Roman"/>
          <w:sz w:val="24"/>
          <w:szCs w:val="24"/>
        </w:rPr>
        <w:t xml:space="preserve"> район, Песчанокопский район, Пролетарский (с) район,</w:t>
      </w:r>
      <w:r>
        <w:rPr>
          <w:rFonts w:ascii="Times New Roman" w:hAnsi="Times New Roman" w:cs="Times New Roman"/>
          <w:sz w:val="24"/>
          <w:szCs w:val="24"/>
        </w:rPr>
        <w:t xml:space="preserve"> Ремонтненский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Советский (с) район, Тарасовский район, Тацинский район, </w:t>
      </w:r>
      <w:r>
        <w:rPr>
          <w:rFonts w:ascii="Times New Roman" w:hAnsi="Times New Roman" w:cs="Times New Roman"/>
          <w:sz w:val="24"/>
          <w:szCs w:val="24"/>
        </w:rPr>
        <w:t xml:space="preserve">Целинский район, </w:t>
      </w:r>
      <w:r>
        <w:rPr>
          <w:rFonts w:ascii="Times New Roman" w:hAnsi="Times New Roman" w:cs="Times New Roman"/>
          <w:sz w:val="24"/>
          <w:szCs w:val="24"/>
        </w:rPr>
        <w:t xml:space="preserve">Цимлянский район, Чертковский район, г. Каменск-Шахтинский, г. Новошахтинск, Сальский район.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8"/>
    <w:next w:val="67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8"/>
    <w:next w:val="67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8"/>
    <w:next w:val="67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8"/>
    <w:next w:val="67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8"/>
    <w:next w:val="67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8"/>
    <w:next w:val="67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8"/>
    <w:next w:val="67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8"/>
    <w:next w:val="67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8"/>
    <w:next w:val="67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8"/>
    <w:next w:val="67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9"/>
    <w:link w:val="33"/>
    <w:uiPriority w:val="10"/>
    <w:rPr>
      <w:sz w:val="48"/>
      <w:szCs w:val="48"/>
    </w:rPr>
  </w:style>
  <w:style w:type="paragraph" w:styleId="35">
    <w:name w:val="Subtitle"/>
    <w:basedOn w:val="678"/>
    <w:next w:val="67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9"/>
    <w:link w:val="35"/>
    <w:uiPriority w:val="11"/>
    <w:rPr>
      <w:sz w:val="24"/>
      <w:szCs w:val="24"/>
    </w:rPr>
  </w:style>
  <w:style w:type="paragraph" w:styleId="37">
    <w:name w:val="Quote"/>
    <w:basedOn w:val="678"/>
    <w:next w:val="67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8"/>
    <w:next w:val="67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9"/>
    <w:link w:val="41"/>
    <w:uiPriority w:val="99"/>
  </w:style>
  <w:style w:type="paragraph" w:styleId="43">
    <w:name w:val="Footer"/>
    <w:basedOn w:val="67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79"/>
    <w:link w:val="43"/>
    <w:uiPriority w:val="99"/>
  </w:style>
  <w:style w:type="paragraph" w:styleId="45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Text Char"/>
    <w:link w:val="684"/>
    <w:uiPriority w:val="99"/>
    <w:rPr>
      <w:sz w:val="18"/>
    </w:rPr>
  </w:style>
  <w:style w:type="paragraph" w:styleId="177">
    <w:name w:val="endnote text"/>
    <w:basedOn w:val="67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9"/>
    <w:uiPriority w:val="99"/>
    <w:semiHidden/>
    <w:unhideWhenUsed/>
    <w:rPr>
      <w:vertAlign w:val="superscript"/>
    </w:rPr>
  </w:style>
  <w:style w:type="paragraph" w:styleId="180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qFormat/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table" w:styleId="682">
    <w:name w:val="Table Grid"/>
    <w:basedOn w:val="68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3">
    <w:name w:val="List Paragraph"/>
    <w:basedOn w:val="678"/>
    <w:uiPriority w:val="34"/>
    <w:qFormat/>
    <w:pPr>
      <w:contextualSpacing/>
      <w:ind w:left="720"/>
    </w:pPr>
  </w:style>
  <w:style w:type="paragraph" w:styleId="684">
    <w:name w:val="footnote text"/>
    <w:basedOn w:val="678"/>
    <w:link w:val="68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5" w:customStyle="1">
    <w:name w:val="Текст сноски Знак"/>
    <w:basedOn w:val="679"/>
    <w:link w:val="684"/>
    <w:uiPriority w:val="99"/>
    <w:semiHidden/>
    <w:rPr>
      <w:sz w:val="20"/>
      <w:szCs w:val="20"/>
    </w:rPr>
  </w:style>
  <w:style w:type="character" w:styleId="686">
    <w:name w:val="footnote reference"/>
    <w:basedOn w:val="679"/>
    <w:uiPriority w:val="99"/>
    <w:semiHidden/>
    <w:unhideWhenUsed/>
    <w:rPr>
      <w:vertAlign w:val="superscript"/>
    </w:rPr>
  </w:style>
  <w:style w:type="paragraph" w:styleId="687">
    <w:name w:val="Balloon Text"/>
    <w:basedOn w:val="678"/>
    <w:link w:val="68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8" w:customStyle="1">
    <w:name w:val="Текст выноски Знак"/>
    <w:basedOn w:val="679"/>
    <w:link w:val="68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emf"/><Relationship Id="rId11" Type="http://schemas.openxmlformats.org/officeDocument/2006/relationships/image" Target="media/image2.emf"/><Relationship Id="rId12" Type="http://schemas.openxmlformats.org/officeDocument/2006/relationships/image" Target="media/image3.emf"/><Relationship Id="rId13" Type="http://schemas.openxmlformats.org/officeDocument/2006/relationships/chart" Target="charts/chart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Трудоустройство выпускников 9-х классов, </a:t>
            </a:r>
            <a:endParaRPr/>
          </a:p>
          <a:p>
            <a:pPr>
              <a:defRPr/>
            </a:pPr>
            <a:r>
              <a:rPr lang="ru-RU"/>
              <a:t>не получивших аттестат</a:t>
            </a:r>
            <a:endParaRPr/>
          </a:p>
          <a:p>
            <a:pPr>
              <a:defRPr/>
            </a:pPr>
            <a:endParaRPr lang="en-US"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 bwMode="auto">
              <a:prstGeom prst="rect">
                <a:avLst/>
              </a:prstGeom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 bwMode="auto">
              <a:prstGeom prst="rect">
                <a:avLst/>
              </a:prstGeom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 bwMode="auto">
              <a:prstGeom prst="rect">
                <a:avLst/>
              </a:prstGeom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 bwMode="auto">
              <a:prstGeom prst="rect">
                <a:avLst/>
              </a:prstGeom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020333596398124879"/>
                  <c:y val="-0.021724367384711177"/>
                </c:manualLayout>
              </c:layout>
              <c:showBubbleSize val="0"/>
              <c:showCatName val="0"/>
              <c:showLegendKey val="0"/>
              <c:showPercent val="1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fld id="{2612672C-4326-469D-B434-F294C0C6CD45}" type="VALUE">
                      <a:rPr lang="en-US"/>
                      <a:t/>
                    </a:fld>
                    <a:endParaRPr lang="ru-RU"/>
                  </a:p>
                </c:rich>
              </c:tx>
            </c:dLbl>
            <c:dLbl>
              <c:idx val="1"/>
              <c:layout>
                <c:manualLayout>
                  <c:x val="-0.084723318325520353"/>
                  <c:y val="-0.018620886329752496"/>
                </c:manualLayout>
              </c:layout>
              <c:showBubbleSize val="0"/>
              <c:showCatName val="0"/>
              <c:showLegendKey val="0"/>
              <c:showPercent val="1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fld id="{A572D1B1-2A12-4878-8016-35B0B8693C43}" type="VALUE">
                      <a:rPr lang="en-US"/>
                      <a:t/>
                    </a:fld>
                    <a:endParaRPr lang="ru-RU"/>
                  </a:p>
                </c:rich>
              </c:tx>
            </c:dLbl>
            <c:dLbl>
              <c:idx val="2"/>
              <c:layout>
                <c:manualLayout>
                  <c:x val="-0.099973515624113996"/>
                  <c:y val="-0.09310443164876224"/>
                </c:manualLayout>
              </c:layout>
              <c:showBubbleSize val="0"/>
              <c:showCatName val="0"/>
              <c:showLegendKey val="0"/>
              <c:showPercent val="1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fld id="{A9E772D8-4EC1-45BF-9221-1AA7E8DA5AE6}" type="VALUE">
                      <a:rPr lang="en-US"/>
                      <a:t/>
                    </a:fld>
                    <a:endParaRPr lang="ru-RU"/>
                  </a:p>
                </c:rich>
              </c:tx>
            </c:dLbl>
            <c:dLbl>
              <c:idx val="3"/>
              <c:layout>
                <c:manualLayout>
                  <c:x val="-0.027111461864166506"/>
                  <c:y val="-0.12413924219834958"/>
                </c:manualLayout>
              </c:layout>
              <c:showBubbleSize val="0"/>
              <c:showCatName val="0"/>
              <c:showLegendKey val="0"/>
              <c:showPercent val="1"/>
              <c:showSerName val="0"/>
              <c:showVal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13,33%</a:t>
                    </a:r>
                    <a:endParaRPr/>
                  </a:p>
                </c:rich>
              </c:tx>
            </c:dLbl>
            <c:leaderLines>
              <c:spPr bwMode="auto">
                <a:prstGeom prst="rect">
                  <a:avLst/>
                </a:prstGeom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showBubbleSize val="0"/>
            <c:showCatName val="0"/>
            <c:showLeaderLines val="1"/>
            <c:showLegendKey val="0"/>
            <c:showPercent val="1"/>
            <c:showSerName val="0"/>
            <c:showVal val="1"/>
            <c:spPr bwMode="auto">
              <a:prstGeom prst="rect">
                <a:avLst/>
              </a:prstGeom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</c:dLbls>
          <c:cat>
            <c:strRef>
              <c:f xml:space="preserve">'Кол-во (2)'!$L$4:$L$7</c:f>
              <c:strCache>
                <c:ptCount val="4"/>
                <c:pt idx="0">
                  <c:v xml:space="preserve">Оставлены на повторный курс обучения</c:v>
                </c:pt>
                <c:pt idx="1">
                  <c:v>Трудоустроены</c:v>
                </c:pt>
                <c:pt idx="2">
                  <c:v xml:space="preserve">Получают образование в профессиональных образовательных организациях</c:v>
                </c:pt>
                <c:pt idx="3">
                  <c:v xml:space="preserve">Не трудоустроены</c:v>
                </c:pt>
              </c:strCache>
            </c:strRef>
          </c:cat>
          <c:val>
            <c:numRef>
              <c:f xml:space="preserve">'Кол-во (2)'!$M$4:$M$7</c:f>
              <c:numCache>
                <c:formatCode>0.00%</c:formatCode>
                <c:ptCount val="4"/>
                <c:pt idx="0">
                  <c:v>0.8392</c:v>
                </c:pt>
                <c:pt idx="1">
                  <c:v>0.0078</c:v>
                </c:pt>
                <c:pt idx="2">
                  <c:v>0.0039</c:v>
                </c:pt>
                <c:pt idx="3">
                  <c:v>0.1333</c:v>
                </c:pt>
              </c:numCache>
            </c:numRef>
          </c:val>
        </c:ser>
        <c:dLbls>
          <c:showBubbleSize val="0"/>
          <c:showCatName val="0"/>
          <c:showLeaderLines val="1"/>
          <c:showLegendKey val="0"/>
          <c:showPercent val="0"/>
          <c:showSerName val="0"/>
          <c:showVal val="1"/>
        </c:dLbls>
        <c:firstSliceAng val="0"/>
        <c:holeSize val="50"/>
      </c:doughnutChart>
      <c:spPr bwMode="auto">
        <a:prstGeom prst="rect">
          <a:avLst/>
        </a:prstGeom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082915442792753"/>
          <c:y val="0.27789302471861566"/>
          <c:w val="0.49775437445319326"/>
          <c:h val="0.45833770778652666"/>
        </c:manualLayout>
      </c:layout>
      <c:overlay val="0"/>
      <c:spPr bwMode="auto"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 bwMode="auto">
      <a:prstGeom prst="rect">
        <a:avLst/>
      </a:prstGeom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cap="all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gradFill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lt1"/>
    </cs:fontRef>
    <cs:spPr bwMode="auto">
      <a:prstGeom prst="rect">
        <a:avLst/>
      </a:prstGeom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/>
  </cs:dataLabel>
  <cs:dataLabelCallout>
    <cs:lnRef idx="0"/>
    <cs:fillRef idx="0"/>
    <cs:effectRef idx="0"/>
    <cs:fontRef idx="minor">
      <a:schemeClr val="lt1"/>
    </cs:fontRef>
    <cs:spPr bwMode="auto">
      <a:prstGeom prst="rect">
        <a:avLst/>
      </a:prstGeom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solidFill>
        <a:schemeClr val="phClr">
          <a:alpha val="85000"/>
        </a:schemeClr>
      </a:solidFill>
    </cs:spPr>
  </cs:dataPointMarker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 bwMode="auto">
      <a:prstGeom prst="rect">
        <a:avLst/>
      </a:prstGeom>
      <a:ln w="9525">
        <a:solidFill>
          <a:schemeClr val="dk1">
            <a:lumMod val="35000"/>
            <a:lumOff val="6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gradFill>
          <a:gsLst>
            <a:gs pos="0">
              <a:schemeClr val="lt1">
                <a:lumMod val="75000"/>
                <a:alpha val="36000"/>
              </a:schemeClr>
            </a:gs>
            <a:gs pos="100000">
              <a:schemeClr val="dk1">
                <a:lumMod val="95000"/>
                <a:lumOff val="5000"/>
                <a:alpha val="42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>
        <a:gradFill>
          <a:gsLst>
            <a:gs pos="0">
              <a:schemeClr val="lt1">
                <a:lumMod val="75000"/>
                <a:alpha val="36000"/>
              </a:schemeClr>
            </a:gs>
            <a:gs pos="100000">
              <a:schemeClr val="dk1">
                <a:lumMod val="95000"/>
                <a:lumOff val="5000"/>
                <a:alpha val="42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 bwMode="auto">
      <a:prstGeom prst="rect">
        <a:avLst/>
      </a:prstGeom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 bwMode="auto">
      <a:prstGeom prst="rect">
        <a:avLst/>
      </a:prstGeom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 bwMode="auto">
      <a:prstGeom prst="rect">
        <a:avLst/>
      </a:prstGeom>
      <a:ln>
        <a:noFill/>
      </a:ln>
    </cs:spPr>
    <cs:defRPr sz="900"/>
  </cs:valueAxis>
  <cs:wall>
    <cs:lnRef idx="0"/>
    <cs:fillRef idx="0"/>
    <cs:effectRef idx="0"/>
    <cs:fontRef idx="minor">
      <a:schemeClr val="dk1"/>
    </cs:fontRef>
  </cs:wall>
  <cs:dataPointMarkerLayout symbol="circle" size="6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3814-3C0B-4A44-A3EC-CE9AF01E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Анна Викторовна</dc:creator>
  <cp:revision>10</cp:revision>
  <dcterms:created xsi:type="dcterms:W3CDTF">2022-10-31T11:25:00Z</dcterms:created>
  <dcterms:modified xsi:type="dcterms:W3CDTF">2023-10-24T08:41:21Z</dcterms:modified>
</cp:coreProperties>
</file>